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</w:rPr>
        <w:t>PREVISÃO DE ESTUDANTES COM RISCO DE EVASÃO UTILIZANDO TÉCNICAS DE INTELIGÊNCIA ARTIFICIAL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Amanda Caetano Amorim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 w:ascii="Times New Roman" w:hAnsi="Times New Roman"/>
          <w:sz w:val="20"/>
          <w:szCs w:val="20"/>
        </w:rPr>
        <w:t>Marcia Ferreira Cristaldo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Leandro de Jesus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Instituto Federal de Educação, Ciência e Tecnologia de Mato Grosso do Sul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– </w:t>
      </w:r>
      <w:r>
        <w:rPr>
          <w:rFonts w:eastAsia="Times New Roman" w:cs="Times New Roman" w:ascii="Times New Roman" w:hAnsi="Times New Roman"/>
          <w:sz w:val="20"/>
          <w:szCs w:val="20"/>
        </w:rPr>
        <w:t>Aquidauana-MS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amanda.amorim@estudante.ifms.edu.br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{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marcia.cristaldo, </w:t>
      </w:r>
      <w:r>
        <w:rPr>
          <w:rFonts w:eastAsia="Times New Roman" w:cs="Times New Roman" w:ascii="Times New Roman" w:hAnsi="Times New Roman"/>
          <w:sz w:val="20"/>
          <w:szCs w:val="20"/>
        </w:rPr>
        <w:t>leandro.jesus}</w:t>
      </w:r>
      <w:r>
        <w:rPr>
          <w:rFonts w:eastAsia="Times New Roman" w:cs="Times New Roman" w:ascii="Times New Roman" w:hAnsi="Times New Roman"/>
          <w:sz w:val="20"/>
          <w:szCs w:val="20"/>
        </w:rPr>
        <w:t>@ifms.edu.br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2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Área/Subárea: Ciências Exatas e da Terra</w:t>
        <w:tab/>
        <w:tab/>
        <w:tab/>
        <w:t xml:space="preserve">                         </w:t>
        <w:tab/>
        <w:t xml:space="preserve">Tipo de Pesquisa: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Cientifica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Palavras-chave: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Mineração de Dados Educacionais, Criação de Atributos, Evasão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567" w:header="284" w:top="1985" w:footer="1418" w:bottom="1475" w:gutter="0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Normal1"/>
        <w:keepNext w:val="false"/>
        <w:keepLines w:val="false"/>
        <w:pageBreakBefore w:val="false"/>
        <w:widowControl/>
        <w:pBdr/>
        <w:shd w:val="clear" w:fill="E2EFD9"/>
        <w:spacing w:lineRule="auto" w:line="240" w:before="0" w:after="12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Introdução</w:t>
      </w:r>
    </w:p>
    <w:p>
      <w:pPr>
        <w:pStyle w:val="Normal1"/>
        <w:spacing w:lineRule="auto" w:line="276"/>
        <w:ind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Os estudos ligados à evasão iniciaram com teorias que buscam explicar a evasão e retenção. Apesar de não existir um conceito coeso, autores como Tinto (1975) abordam o modelo de integração do estudante, frisando que a decisão de evadir surge em função da falta de adaptação com o meio acadêmico/social da instituição, influenciada pelas características individuais e expectativas para a carreira ou curso e intenções e assumidas antes do início do curso. A partir desta premissa, este projeto investigou quais são os fatores intrínsecos e quais os extrínsecos à escola que contribuem para a evasão de alunos na educação profissional, um dos resultados importante verificado foi que a escolaridade da família e a rede mundial de computadores tem papéis de extrema importância na decisão de evasão, observando também que a maior taxa evasão está ligada aos alunos que estão nos primeiros períodos.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E2EFD9"/>
        <w:spacing w:lineRule="auto" w:line="240" w:before="0" w:after="12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Metodologia</w:t>
      </w:r>
    </w:p>
    <w:p>
      <w:pPr>
        <w:pStyle w:val="Normal1"/>
        <w:spacing w:lineRule="auto" w:line="276"/>
        <w:ind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Com base nos objetivos a serem conquistados, essa pesquisa pode ser definida como exploratória. Segundo Gil (2010), a pesquisa exploratória visa possibilitar maior proximidade com o problema proposto, tornando-o mais explícito.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A metodologia segue os passos: 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1)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Mineração de Dados: A KDD (</w:t>
      </w:r>
      <w:r>
        <w:rPr>
          <w:rFonts w:eastAsia="Times New Roman" w:cs="Times New Roman" w:ascii="Times New Roman" w:hAnsi="Times New Roman"/>
          <w:i/>
          <w:iCs/>
          <w:sz w:val="20"/>
          <w:szCs w:val="20"/>
        </w:rPr>
        <w:t>knowledge-discovery in databases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), ou extração de conhecimento no português, é um processo de extração de informações de base de dados. Na base de dados usada neste trabalho temos a descoberta supervisionada, sendo composto pelos dados de todos os estudantes desde 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 xml:space="preserve">2014.1. 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 xml:space="preserve">2) </w:t>
      </w:r>
      <w:r>
        <w:rPr>
          <w:rFonts w:eastAsia="Times New Roman" w:cs="Times New Roman" w:ascii="Times New Roman" w:hAnsi="Times New Roman"/>
          <w:b w:val="false"/>
          <w:sz w:val="20"/>
          <w:szCs w:val="20"/>
        </w:rPr>
        <w:t xml:space="preserve">MLP: </w:t>
      </w:r>
      <w:r>
        <w:rPr>
          <w:rFonts w:eastAsia="Times New Roman" w:cs="Times New Roman" w:ascii="Times New Roman" w:hAnsi="Times New Roman"/>
          <w:sz w:val="20"/>
          <w:szCs w:val="20"/>
        </w:rPr>
        <w:t>Perceptron Multicamadas (MLP — Multi Layer Perceptron) é uma rede neural com uma ou mais camadas ocultas com um número indeterminado de neurônios. A técnica MLP possui vantagens na sua arquitetura, a qual a diferenciação entre uma rede e outra fica por conta do número de neurônios da camada oculta  (</w:t>
      </w:r>
      <w:r>
        <w:rPr>
          <w:rFonts w:eastAsia="Times New Roman" w:cs="Times New Roman" w:ascii="Times New Roman" w:hAnsi="Times New Roman"/>
          <w:sz w:val="20"/>
          <w:szCs w:val="20"/>
        </w:rPr>
        <w:t>ABDI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0"/>
          <w:szCs w:val="20"/>
        </w:rPr>
        <w:t>et al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., 1999). 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3)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Processamento à Aplicação do Algoritmo de RNA: O processo de KDD foi utilizado então os dados do questionário socioeconômico dos estudantes  fornecido pela coordenação de Permanência e êxito  do IFMS.  O vetor de entrada da rede neural artificial - RNA é composto por 54 parâmetros na camada de entrada e a saída da rede é constituída pela classe chamada “situação”. Os dados da situação dos alunos foram fornecidos pela coordenação do curso TII </w:t>
      </w:r>
      <w:r>
        <w:rPr>
          <w:rFonts w:eastAsia="Times New Roman" w:cs="Times New Roman" w:ascii="Times New Roman" w:hAnsi="Times New Roman"/>
          <w:sz w:val="20"/>
          <w:szCs w:val="20"/>
        </w:rPr>
        <w:t>(Técnico Integrado em Informática)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por meio de requerimento na secretaria acadêmica do Câmpus. Para criar o banco de dados na etapa de mineração, deve-se criar arquivos do tipo ARFF. 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 xml:space="preserve">4) </w:t>
      </w:r>
      <w:r>
        <w:rPr>
          <w:rFonts w:eastAsia="Times New Roman" w:cs="Times New Roman" w:ascii="Times New Roman" w:hAnsi="Times New Roman"/>
          <w:b w:val="false"/>
          <w:i/>
          <w:iCs/>
          <w:sz w:val="20"/>
          <w:szCs w:val="20"/>
        </w:rPr>
        <w:t xml:space="preserve">Software Weka: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Segundo Weka (2020) </w:t>
      </w:r>
      <w:bookmarkStart w:id="0" w:name="tw-target-text"/>
      <w:bookmarkEnd w:id="0"/>
      <w:r>
        <w:rPr>
          <w:rFonts w:eastAsia="Times New Roman" w:cs="Times New Roman" w:ascii="Times New Roman" w:hAnsi="Times New Roman"/>
          <w:sz w:val="20"/>
          <w:szCs w:val="20"/>
        </w:rPr>
        <w:t xml:space="preserve">o </w:t>
      </w:r>
      <w:r>
        <w:rPr>
          <w:rFonts w:eastAsia="Times New Roman" w:cs="Times New Roman" w:ascii="Times New Roman" w:hAnsi="Times New Roman"/>
          <w:i/>
          <w:iCs/>
          <w:sz w:val="20"/>
          <w:szCs w:val="20"/>
        </w:rPr>
        <w:t>software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0"/>
          <w:szCs w:val="20"/>
          <w:lang w:val="pt-PT"/>
        </w:rPr>
        <w:t xml:space="preserve"> é uma coleção de algoritmos de aprendizado de máquina para tarefas de mineração de dados. Ele contém ferramentas para preparação de dados, classificação, regressão,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202124"/>
          <w:spacing w:val="0"/>
          <w:sz w:val="20"/>
          <w:szCs w:val="20"/>
          <w:lang w:val="pt-PT"/>
        </w:rPr>
        <w:t>clustering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0"/>
          <w:szCs w:val="20"/>
          <w:lang w:val="pt-PT"/>
        </w:rPr>
        <w:t>, mineração de regras de asso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0"/>
          <w:szCs w:val="20"/>
          <w:lang w:val="pt-PT"/>
        </w:rPr>
        <w:t>ciação e visualização.</w:t>
      </w:r>
      <w:bookmarkStart w:id="1" w:name="_58dgka2wew2e"/>
      <w:bookmarkEnd w:id="1"/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0"/>
          <w:szCs w:val="20"/>
          <w:lang w:val="pt-PT"/>
        </w:rPr>
        <w:t xml:space="preserve"> 5)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202124"/>
          <w:spacing w:val="0"/>
          <w:sz w:val="20"/>
          <w:szCs w:val="20"/>
          <w:lang w:val="pt-PT"/>
        </w:rPr>
        <w:t xml:space="preserve"> </w:t>
      </w:r>
      <w:r>
        <w:rPr>
          <w:rFonts w:eastAsia="Times New Roman" w:cs="Times New Roman" w:ascii="Times New Roman" w:hAnsi="Times New Roman"/>
          <w:b w:val="false"/>
          <w:sz w:val="20"/>
          <w:szCs w:val="20"/>
        </w:rPr>
        <w:t>Configuração dos Algoritmos</w:t>
      </w:r>
      <w:r>
        <w:rPr>
          <w:rFonts w:eastAsia="Times New Roman" w:cs="Times New Roman" w:ascii="Times New Roman" w:hAnsi="Times New Roman"/>
          <w:b w:val="false"/>
          <w:smallCaps/>
          <w:color w:val="00000A"/>
          <w:sz w:val="20"/>
          <w:szCs w:val="20"/>
        </w:rPr>
        <w:t xml:space="preserve">: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Nessa etapa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foram utilizados </w:t>
      </w: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</w:rPr>
        <w:t>54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atributos iniciais,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no qual o algoritmos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CFS selecionou 8 atributos, sendo: estado civil do estudante, sexo dos responsáveis, renda familiar, escolaridade dos responsáveis, transporte utilizado, utilização de internet, período matriculado. Após selecionado os melhores atributos, foi configurado o algoritmo de classificação MLP, após a conclusão do teste usa-se um conjunto diferente de 9 partes para treino e 1 para teste até que todas as 10 partes tenham sido usadas para testes.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E2EFD9"/>
        <w:spacing w:lineRule="auto" w:line="240" w:before="0" w:after="12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Resultados e Análise</w:t>
      </w:r>
    </w:p>
    <w:p>
      <w:pPr>
        <w:pStyle w:val="Normal1"/>
        <w:spacing w:lineRule="auto" w:line="276"/>
        <w:ind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Na Tabela 1 pode-se verificar os resultados dos algoritmos MLP mostrando sua principal métrica, a curva de ROC, um dos valores mais importantes produzidos pela Weka, no qual mostra uma ótima classificação com valores próximos de 1. Outra análise é da Taxa de TP Rate: taxa de verdadeiros positivos (instâncias classificadas corretamente como uma determinada classe), sendo seu valor próximo de 1. Em relação às tarefas de classificação é importante o número de instâncias corretamente classificadas, porém a estatística de Kappa a qual indica o quão concordante (e também coeso) aquele dado está classificado dentro da tarefa de classificação, tendo como resultado de 70% de confiabilidade, e sua acurácia de 86%. A MAE apresenta taxa de erro usada na previsão próxima de 0.</w:t>
      </w:r>
    </w:p>
    <w:p>
      <w:pPr>
        <w:pStyle w:val="Normal1"/>
        <w:spacing w:lineRule="auto" w:line="240" w:before="183" w:after="183"/>
        <w:ind w:firstLine="20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T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 xml:space="preserve">abela 1. </w:t>
      </w:r>
      <w:r>
        <w:rPr>
          <w:rFonts w:eastAsia="Times New Roman" w:cs="Times New Roman" w:ascii="Times New Roman" w:hAnsi="Times New Roman"/>
          <w:sz w:val="20"/>
          <w:szCs w:val="20"/>
        </w:rPr>
        <w:t>Resultados do algoritmo MLP.</w:t>
      </w:r>
    </w:p>
    <w:p>
      <w:pPr>
        <w:pStyle w:val="Ttulo1"/>
        <w:keepLines w:val="false"/>
        <w:spacing w:lineRule="auto" w:line="240" w:before="183" w:after="183"/>
        <w:ind w:firstLine="20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 xml:space="preserve">Fonte. </w:t>
      </w: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</w:rPr>
        <w:t>A</w:t>
      </w:r>
      <w:r>
        <w:rPr>
          <w:rFonts w:eastAsia="Times New Roman" w:cs="Times New Roman" w:ascii="Times New Roman" w:hAnsi="Times New Roman"/>
          <w:b w:val="false"/>
          <w:sz w:val="20"/>
          <w:szCs w:val="20"/>
        </w:rPr>
        <w:t>utoria própria.</w:t>
      </w:r>
    </w:p>
    <w:tbl>
      <w:tblPr>
        <w:tblStyle w:val="Table1"/>
        <w:tblW w:w="3793" w:type="dxa"/>
        <w:jc w:val="center"/>
        <w:tblInd w:w="0" w:type="dxa"/>
        <w:tblLayout w:type="fixed"/>
        <w:tblCellMar>
          <w:top w:w="0" w:type="dxa"/>
          <w:left w:w="100" w:type="dxa"/>
          <w:bottom w:w="0" w:type="dxa"/>
          <w:right w:w="120" w:type="dxa"/>
        </w:tblCellMar>
        <w:tblLook w:val="0600"/>
      </w:tblPr>
      <w:tblGrid>
        <w:gridCol w:w="1760"/>
        <w:gridCol w:w="2033"/>
      </w:tblGrid>
      <w:tr>
        <w:trPr>
          <w:trHeight w:val="260" w:hRule="atLeas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Métricas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Acurácia</w:t>
            </w:r>
          </w:p>
        </w:tc>
      </w:tr>
      <w:tr>
        <w:trPr>
          <w:trHeight w:val="220" w:hRule="atLeas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Acurácia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86%</w:t>
            </w:r>
          </w:p>
        </w:tc>
      </w:tr>
      <w:tr>
        <w:trPr>
          <w:trHeight w:val="260" w:hRule="atLeas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Área Média ROC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0,857</w:t>
            </w:r>
          </w:p>
        </w:tc>
      </w:tr>
      <w:tr>
        <w:trPr>
          <w:trHeight w:val="240" w:hRule="atLeas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Média TP Rate 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0,861</w:t>
            </w:r>
          </w:p>
        </w:tc>
      </w:tr>
      <w:tr>
        <w:trPr>
          <w:trHeight w:val="260" w:hRule="atLeas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MAE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0,1594</w:t>
            </w:r>
          </w:p>
        </w:tc>
      </w:tr>
      <w:tr>
        <w:trPr>
          <w:trHeight w:val="240" w:hRule="atLeas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Kappa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0,7072</w:t>
            </w:r>
          </w:p>
        </w:tc>
      </w:tr>
    </w:tbl>
    <w:p>
      <w:pPr>
        <w:pStyle w:val="Ttulo1"/>
        <w:keepLines w:val="false"/>
        <w:spacing w:lineRule="auto" w:line="276" w:before="240" w:after="240"/>
        <w:rPr>
          <w:rFonts w:ascii="Times New Roman" w:hAnsi="Times New Roman" w:eastAsia="Times New Roman" w:cs="Times New Roman"/>
          <w:b w:val="false"/>
          <w:b w:val="false"/>
          <w:sz w:val="20"/>
          <w:szCs w:val="20"/>
        </w:rPr>
      </w:pPr>
      <w:bookmarkStart w:id="2" w:name="_8qge62i33rma"/>
      <w:bookmarkEnd w:id="2"/>
      <w:r>
        <w:rPr>
          <w:rFonts w:eastAsia="Times New Roman" w:cs="Times New Roman" w:ascii="Times New Roman" w:hAnsi="Times New Roman"/>
          <w:b w:val="false"/>
          <w:sz w:val="20"/>
          <w:szCs w:val="20"/>
        </w:rPr>
        <w:t>Analisando a matriz de confusão na Tabela 2 da MLP.</w:t>
      </w:r>
    </w:p>
    <w:p>
      <w:pPr>
        <w:pStyle w:val="Ttulo1"/>
        <w:keepLines w:val="false"/>
        <w:spacing w:lineRule="auto" w:line="276" w:before="240" w:after="240"/>
        <w:jc w:val="center"/>
        <w:rPr>
          <w:rFonts w:ascii="Times New Roman" w:hAnsi="Times New Roman" w:eastAsia="Times New Roman" w:cs="Times New Roman"/>
          <w:b w:val="false"/>
          <w:b w:val="false"/>
          <w:sz w:val="20"/>
          <w:szCs w:val="20"/>
        </w:rPr>
      </w:pPr>
      <w:bookmarkStart w:id="3" w:name="_bl6z88hp0jf9"/>
      <w:bookmarkEnd w:id="3"/>
      <w:r>
        <w:rPr>
          <w:rFonts w:eastAsia="Times New Roman" w:cs="Times New Roman" w:ascii="Times New Roman" w:hAnsi="Times New Roman"/>
          <w:b w:val="false"/>
          <w:sz w:val="20"/>
          <w:szCs w:val="20"/>
        </w:rPr>
        <w:t xml:space="preserve">TABELA 2 - Matriz de confusão </w:t>
      </w:r>
    </w:p>
    <w:tbl>
      <w:tblPr>
        <w:tblStyle w:val="Table2"/>
        <w:tblW w:w="4949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738"/>
        <w:gridCol w:w="1382"/>
        <w:gridCol w:w="1829"/>
      </w:tblGrid>
      <w:tr>
        <w:trPr/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Classificação</w:t>
            </w:r>
          </w:p>
        </w:tc>
      </w:tr>
      <w:tr>
        <w:trPr/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a= não evadido</w:t>
            </w:r>
          </w:p>
        </w:tc>
      </w:tr>
      <w:tr>
        <w:trPr/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b= evadido</w:t>
            </w:r>
          </w:p>
        </w:tc>
      </w:tr>
    </w:tbl>
    <w:p>
      <w:pPr>
        <w:pStyle w:val="Ttulo1"/>
        <w:keepLines w:val="false"/>
        <w:spacing w:lineRule="auto" w:line="240" w:before="183" w:after="183"/>
        <w:ind w:left="0" w:hanging="0"/>
        <w:jc w:val="center"/>
        <w:rPr/>
      </w:pPr>
      <w:bookmarkStart w:id="4" w:name="_hf2644wmtu9y"/>
      <w:bookmarkEnd w:id="4"/>
      <w:r>
        <w:rPr>
          <w:rFonts w:eastAsia="Times New Roman" w:cs="Times New Roman" w:ascii="Times New Roman" w:hAnsi="Times New Roman"/>
          <w:b w:val="false"/>
          <w:sz w:val="20"/>
          <w:szCs w:val="20"/>
        </w:rPr>
        <w:t>Fonte: Autoria própria.</w:t>
      </w:r>
    </w:p>
    <w:p>
      <w:pPr>
        <w:pStyle w:val="Ttulo1"/>
        <w:spacing w:lineRule="auto" w:line="240" w:before="183" w:after="183"/>
        <w:ind w:left="0" w:hanging="0"/>
        <w:jc w:val="both"/>
        <w:rPr/>
      </w:pPr>
      <w:bookmarkStart w:id="5" w:name="_qjxpitp9rut3"/>
      <w:bookmarkEnd w:id="5"/>
      <w:r>
        <w:rPr>
          <w:rFonts w:eastAsia="Times New Roman" w:cs="Times New Roman" w:ascii="Times New Roman" w:hAnsi="Times New Roman"/>
          <w:b w:val="false"/>
          <w:sz w:val="20"/>
          <w:szCs w:val="20"/>
        </w:rPr>
        <w:t>As instâncias classificadas corretas e incorretamente mostram a porcentagem de instâncias de teste que foram classificadas de forma correta ou não. Assim, seus números brutos são mostrados na matriz de confusão (Tabela 2), com a e b representando os rótulos de classe. Aqui houve 397 instâncias, então as porcentagens e os números brutos se somam, aa + bb = 217 + 125 = 342, ab + ba = 26 + 29 = 55. Na matriz verifica-se que 125 estudantes foram classificados corretamente como evadidos, 29 foram classificados não evadidos. Já  os não evadidos  217 estudantes foram classificados corretamente, 26 foram classificados como evadidos. A porcentagem de instâncias classificadas corretamente é frequentemente chamada de exatidão ou precisão de amostra. Ele tem algumas desvantagens como uma estimativa de desempenho por isso deve-se avaliar a curva de ROC e a medida de Kappa mostrada acima.</w:t>
      </w:r>
    </w:p>
    <w:p>
      <w:pPr>
        <w:pStyle w:val="Normal1"/>
        <w:numPr>
          <w:ilvl w:val="0"/>
          <w:numId w:val="1"/>
        </w:numPr>
        <w:spacing w:lineRule="auto" w:line="276"/>
        <w:ind w:left="720" w:hanging="360"/>
        <w:jc w:val="both"/>
        <w:rPr>
          <w:rFonts w:ascii="Linux Libertine" w:hAnsi="Linux Libertine" w:eastAsia="Linux Libertine" w:cs="Linux Libertine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Discussões</w:t>
      </w:r>
    </w:p>
    <w:p>
      <w:pPr>
        <w:pStyle w:val="Normal1"/>
        <w:spacing w:lineRule="auto" w:line="276"/>
        <w:ind w:firstLine="72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A autora Narciso (2015) um dos trabalhos mais recentes sobre evasão nos Instituto Federais (IFs), revelou que os fatores que mais contribuíram para a evasão foram: enorme dificuldade nas disciplinas técnicas e exatas (82%); atividades fora dos IFs que atrapalhavam a permanência na escola (74%) e dentre essas atividades o “trabalho” foi o que mais contribuiu com a evasão (61,53%); falta às aulas (60%), sendo que os motivos das faltas às aulas eram “notas baixas” e “problemas com a instituição” (61,53%). </w:t>
      </w:r>
    </w:p>
    <w:p>
      <w:pPr>
        <w:pStyle w:val="Normal1"/>
        <w:spacing w:lineRule="auto" w:line="276"/>
        <w:ind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Em contraponto, este projeto investigou quais são os fatores intrínsecos e quais os extrínsecos à escola que contribuem para a evasão de alunos na educação profissional no campus Aquidauana, revelando que a escolaridade da família, rede mundial de computadores e cursar os primeiros semestres têm papéis de extrema importância na decisão de evasão.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E2EFD9"/>
        <w:spacing w:lineRule="auto" w:line="240" w:before="0" w:after="12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Considerações Finais</w:t>
      </w:r>
    </w:p>
    <w:p>
      <w:pPr>
        <w:pStyle w:val="Normal1"/>
        <w:spacing w:lineRule="auto" w:line="276"/>
        <w:ind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A evasão dos cursos técnicos dos Institutos Federais é um fenômeno em crescimento e tornou-se foco de preocupação para gestores educacionais. Com intuito de minimizar os gastos com a evasão, o projeto utilizou dados do questionário socioeconômico  para apoiar a tomada de decisão no uso de técnicas de mineração de dados. O algoritmo MLP mostrou-se relevante para previsão do estudante com instâncias classificadas corretamente de 86%. </w:t>
      </w:r>
    </w:p>
    <w:p>
      <w:pPr>
        <w:pStyle w:val="Normal1"/>
        <w:spacing w:lineRule="auto" w:line="276"/>
        <w:ind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Com a abordagem computacional proposta para a análise da evasão, permite-se identificar padrões que podem auxiliar a tomada de decisão dos gestores educacionais, utilizando-se indicadores e/ou conjunto de regras que permitem avaliar a possibilidade da evasão de cada aluno, abrangendo do nível estratégico até o nível operacional (coordenações de curso), com o uso de técnicas de mineração de dados.</w:t>
      </w:r>
    </w:p>
    <w:p>
      <w:pPr>
        <w:pStyle w:val="Normal1"/>
        <w:spacing w:lineRule="auto" w:line="276"/>
        <w:ind w:firstLine="72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E2EFD9"/>
        <w:spacing w:lineRule="auto" w:line="240" w:before="0" w:after="12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Referências</w:t>
      </w:r>
    </w:p>
    <w:p>
      <w:pPr>
        <w:pStyle w:val="Normal1"/>
        <w:spacing w:lineRule="auto" w:line="264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ABDI, H.; VALENTIN, D.; EDELMAN, B. “Neural networks. Sage University Papers Series on Quantitative Applications in the Social Sciences”, 07-124. Thousands Oaks, CA, 1999.</w:t>
      </w:r>
    </w:p>
    <w:p>
      <w:pPr>
        <w:pStyle w:val="Normal1"/>
        <w:spacing w:lineRule="auto" w:line="264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64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GIL, A. C.. “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Como elaborar projetos de pesquisa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”. 5ª Ed. São Paulo: Atlas, 2010. </w:t>
      </w:r>
    </w:p>
    <w:p>
      <w:pPr>
        <w:pStyle w:val="Normal1"/>
        <w:spacing w:lineRule="auto" w:line="264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64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NARCISO, L. G. S. “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Análise da </w:t>
      </w:r>
      <w:r>
        <w:rPr>
          <w:rFonts w:eastAsia="Times New Roman" w:cs="Times New Roman" w:ascii="Times New Roman" w:hAnsi="Times New Roman"/>
          <w:sz w:val="20"/>
          <w:szCs w:val="20"/>
        </w:rPr>
        <w:t>evasão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 nos cursos técnicos do instituto federal do norte de Minas Gerais – Câmpus Arinos: exclusão da escola ou exclusão na escola?</w:t>
      </w:r>
      <w:r>
        <w:rPr>
          <w:rFonts w:eastAsia="Times New Roman" w:cs="Times New Roman" w:ascii="Times New Roman" w:hAnsi="Times New Roman"/>
          <w:sz w:val="20"/>
          <w:szCs w:val="20"/>
        </w:rPr>
        <w:t>”. 2015. 262. Dissertação (Mestrado em Sociologia Política) - Universidade Federal de Santa Catarina. Universidade Federal de Santa Catarina, Florianópolis.</w:t>
      </w:r>
    </w:p>
    <w:p>
      <w:pPr>
        <w:pStyle w:val="Normal1"/>
        <w:spacing w:lineRule="auto" w:line="264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64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TINTO, V. “Dropout from higher education: A Theoretical syntesis of resent research. Review educational research”, p. 89-125, 1975.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/>
        <w:pBdr/>
        <w:shd w:val="clear" w:fill="auto"/>
        <w:spacing w:lineRule="auto" w:line="240" w:before="0" w:after="12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WEKA.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Software de Mineração de Dados. Disponívele em:&lt;</w:t>
      </w:r>
      <w:hyperlink r:id="rId4">
        <w:r>
          <w:rPr>
            <w:rStyle w:val="LinkdaInternet"/>
            <w:rFonts w:eastAsia="Times New Roman" w:cs="Times New Roman" w:ascii="Times New Roman" w:hAnsi="Times New Roman"/>
            <w:b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position w:val="0"/>
            <w:sz w:val="20"/>
            <w:sz w:val="20"/>
            <w:szCs w:val="20"/>
            <w:u w:val="none"/>
            <w:shd w:fill="auto" w:val="clear"/>
            <w:vertAlign w:val="baseline"/>
          </w:rPr>
          <w:t>Weka 3 - Data Mining with Open Source Machine Learning Software in Java (waikato.ac.nz)</w:t>
        </w:r>
      </w:hyperlink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&gt;. Acesso em: 2 de março de 2020.</w:t>
      </w:r>
    </w:p>
    <w:sectPr>
      <w:type w:val="continuous"/>
      <w:pgSz w:w="11906" w:h="16838"/>
      <w:pgMar w:left="1134" w:right="567" w:header="284" w:top="1985" w:footer="1418" w:bottom="1475" w:gutter="0"/>
      <w:cols w:num="2" w:space="454" w:equalWidth="true" w:sep="fals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Liberation Mono">
    <w:altName w:val="Courier New"/>
    <w:charset w:val="00"/>
    <w:family w:val="modern"/>
    <w:pitch w:val="fixed"/>
  </w:font>
  <w:font w:name="Linux Libertin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3810</wp:posOffset>
          </wp:positionH>
          <wp:positionV relativeFrom="paragraph">
            <wp:posOffset>33655</wp:posOffset>
          </wp:positionV>
          <wp:extent cx="6486525" cy="4953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7620</wp:posOffset>
          </wp:positionH>
          <wp:positionV relativeFrom="paragraph">
            <wp:posOffset>304800</wp:posOffset>
          </wp:positionV>
          <wp:extent cx="6486525" cy="49530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Textoprformatado">
    <w:name w:val="Texto préformatado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https://www.cs.waikato.ac.nz/ml/weka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LibreOffice/7.1.3.2$Windows_X86_64 LibreOffice_project/47f78053abe362b9384784d31a6e56f8511eb1c1</Application>
  <AppVersion>15.0000</AppVersion>
  <Pages>2</Pages>
  <Words>1280</Words>
  <Characters>7080</Characters>
  <CharactersWithSpaces>8352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2021-09-09T21:57:22Z</dcterms:modified>
  <cp:revision>1</cp:revision>
  <dc:subject/>
  <dc:title/>
</cp:coreProperties>
</file>